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7" w:rsidRPr="00A75ACC" w:rsidRDefault="00A75ACC" w:rsidP="003E7865">
      <w:pPr>
        <w:spacing w:line="360" w:lineRule="auto"/>
      </w:pPr>
      <w:r w:rsidRPr="00A75ACC">
        <w:t>SALK-Medienmitteilung, 2</w:t>
      </w:r>
      <w:r w:rsidR="005F12B2">
        <w:t>7</w:t>
      </w:r>
      <w:bookmarkStart w:id="0" w:name="_GoBack"/>
      <w:bookmarkEnd w:id="0"/>
      <w:r w:rsidRPr="00A75ACC">
        <w:t>. November 2019</w:t>
      </w:r>
    </w:p>
    <w:p w:rsidR="00A75ACC" w:rsidRPr="00A75ACC" w:rsidRDefault="00A75ACC" w:rsidP="003E7865">
      <w:pPr>
        <w:spacing w:line="360" w:lineRule="auto"/>
      </w:pPr>
    </w:p>
    <w:p w:rsidR="00A75ACC" w:rsidRPr="006F5532" w:rsidRDefault="003E7865" w:rsidP="003E7865">
      <w:pPr>
        <w:spacing w:line="360" w:lineRule="auto"/>
        <w:rPr>
          <w:b/>
          <w:color w:val="92D050"/>
          <w:sz w:val="28"/>
          <w:szCs w:val="28"/>
        </w:rPr>
      </w:pPr>
      <w:r w:rsidRPr="006F5532">
        <w:rPr>
          <w:b/>
          <w:color w:val="92D050"/>
          <w:sz w:val="28"/>
          <w:szCs w:val="28"/>
        </w:rPr>
        <w:t>Kü</w:t>
      </w:r>
      <w:r w:rsidR="002C40D5" w:rsidRPr="006F5532">
        <w:rPr>
          <w:b/>
          <w:color w:val="92D050"/>
          <w:sz w:val="28"/>
          <w:szCs w:val="28"/>
        </w:rPr>
        <w:t xml:space="preserve">nstlerische Eröffnung des Universitätsinstituts für </w:t>
      </w:r>
      <w:r w:rsidRPr="006F5532">
        <w:rPr>
          <w:b/>
          <w:color w:val="92D050"/>
          <w:sz w:val="28"/>
          <w:szCs w:val="28"/>
        </w:rPr>
        <w:t>Transfusionsmedizin</w:t>
      </w:r>
    </w:p>
    <w:p w:rsidR="003E7865" w:rsidRPr="006F5532" w:rsidRDefault="003E7865" w:rsidP="003E7865">
      <w:pPr>
        <w:spacing w:line="360" w:lineRule="auto"/>
        <w:rPr>
          <w:b/>
          <w:color w:val="92D050"/>
          <w:sz w:val="24"/>
          <w:szCs w:val="24"/>
        </w:rPr>
      </w:pPr>
      <w:r w:rsidRPr="006F5532">
        <w:rPr>
          <w:b/>
          <w:color w:val="92D050"/>
          <w:sz w:val="24"/>
          <w:szCs w:val="24"/>
        </w:rPr>
        <w:t>Neue Räumlichkeiten wurden mit einer Vernissage feierlich in Betrieb genommen</w:t>
      </w:r>
    </w:p>
    <w:p w:rsidR="00A75ACC" w:rsidRDefault="00A75ACC" w:rsidP="003E7865">
      <w:pPr>
        <w:spacing w:line="360" w:lineRule="auto"/>
      </w:pPr>
    </w:p>
    <w:p w:rsidR="003E7865" w:rsidRDefault="004415D2" w:rsidP="003E7865">
      <w:pPr>
        <w:spacing w:line="360" w:lineRule="auto"/>
      </w:pPr>
      <w:r>
        <w:t xml:space="preserve">Je zwei Künstlerinnen und Künstler und 110 Gemälde und Grafiken: Die Gänge der neuen Räumlichkeiten des Universitätsinstituts für Transfusionsmedizin im Uniklinikum LKH muten fast wie eine Galerie an. Die Werke sind </w:t>
      </w:r>
      <w:r w:rsidR="003E7865">
        <w:t xml:space="preserve">kreative Schöpfungen aus Maltherapien </w:t>
      </w:r>
      <w:r w:rsidR="00F632FF">
        <w:t>an der Universitätsklinik für Psychiatrie, Ps</w:t>
      </w:r>
      <w:r>
        <w:t>y</w:t>
      </w:r>
      <w:r w:rsidR="00F632FF">
        <w:t>chotherapie und Psychosomati</w:t>
      </w:r>
      <w:r>
        <w:t xml:space="preserve">k und </w:t>
      </w:r>
      <w:r w:rsidR="003E7865">
        <w:t>Dauerleihgabe</w:t>
      </w:r>
      <w:r>
        <w:t>n</w:t>
      </w:r>
      <w:r w:rsidR="003E7865">
        <w:t>. „Ich freue mich über diese wertschätzende Aktivität für mein Team. Unsere Arbeitsumgebung, in der wir täglich für Patientensicherheit sorgen müssen, wird damit freundlicher und bunter“, sa</w:t>
      </w:r>
      <w:r w:rsidR="00F632FF">
        <w:t xml:space="preserve">gte Institutsleiterin </w:t>
      </w:r>
      <w:r>
        <w:t>Eva Rohde – sie ist auch Vizerektorin der Paracelsus Medizinischen Privatuniversität (PMU) –</w:t>
      </w:r>
      <w:r w:rsidR="003E7865">
        <w:t xml:space="preserve"> anlässlich der Vernissage</w:t>
      </w:r>
      <w:r w:rsidR="00E50D41">
        <w:t>,</w:t>
      </w:r>
      <w:r w:rsidR="003E7865">
        <w:t xml:space="preserve"> mit der gleichzeitig die neuen Räume des Universitätsinstitut</w:t>
      </w:r>
      <w:r w:rsidR="00E50D41">
        <w:t>e</w:t>
      </w:r>
      <w:r w:rsidR="003E7865">
        <w:t>s feierlich eröffnet wurden.</w:t>
      </w:r>
    </w:p>
    <w:p w:rsidR="003E7865" w:rsidRDefault="003E7865" w:rsidP="003E7865">
      <w:pPr>
        <w:spacing w:line="360" w:lineRule="auto"/>
      </w:pPr>
    </w:p>
    <w:p w:rsidR="003E7865" w:rsidRDefault="00832DA4" w:rsidP="003E7865">
      <w:pPr>
        <w:spacing w:line="360" w:lineRule="auto"/>
      </w:pPr>
      <w:r>
        <w:t>Bereits im Oktober 2018 hatte</w:t>
      </w:r>
      <w:r w:rsidR="003E7865">
        <w:t xml:space="preserve"> der Umzug in das neue </w:t>
      </w:r>
      <w:r w:rsidR="00E50D41">
        <w:t xml:space="preserve">Institutsgebäude </w:t>
      </w:r>
      <w:r w:rsidR="003E7865">
        <w:t>im Uniklinikum LKH statt</w:t>
      </w:r>
      <w:r>
        <w:t>gefunden</w:t>
      </w:r>
      <w:r w:rsidR="003E7865">
        <w:t xml:space="preserve"> – ein Großvorhaben, galt es doch die Arbeitsplätze von 55 Mitarbeiterinnen und Mitarbeitern, 100 medizinische Kühlschränke und 350 Laborgeräte zu übersiedeln. Rohde: „Wir hatten während</w:t>
      </w:r>
      <w:r w:rsidR="005A150C">
        <w:t xml:space="preserve"> des</w:t>
      </w:r>
      <w:r w:rsidR="003E7865" w:rsidRPr="000C3B8F">
        <w:rPr>
          <w:color w:val="FF0000"/>
        </w:rPr>
        <w:t xml:space="preserve"> </w:t>
      </w:r>
      <w:r w:rsidR="003E7865">
        <w:t>Umzugs mit einem Produktionsausfall für zwei Wochen gere</w:t>
      </w:r>
      <w:r w:rsidR="006B5C7D">
        <w:t>chnet. Und obwohl wir aus Sicherheitsgründen für alle Laborgeräte Testläufe wie bei der ersten Inbetriebnahme durchführen</w:t>
      </w:r>
      <w:r w:rsidR="003E7865">
        <w:t xml:space="preserve"> mussten, waren es nur eineinhalb Stunden.</w:t>
      </w:r>
      <w:r w:rsidR="006B5C7D">
        <w:t xml:space="preserve"> Das zeigt, wie engagiert das</w:t>
      </w:r>
      <w:r w:rsidR="003E7865">
        <w:t xml:space="preserve"> Team gearbeitet hat</w:t>
      </w:r>
      <w:r w:rsidR="00F632FF">
        <w:t>. Wir sind in dieser Zeit sehr zusammengewachsen</w:t>
      </w:r>
      <w:r w:rsidR="003E7865">
        <w:t>.“</w:t>
      </w:r>
      <w:r w:rsidR="006B5C7D">
        <w:t xml:space="preserve"> In den vergangenen Monaten wurden Einrichtung und Abläufe im neuen </w:t>
      </w:r>
      <w:r w:rsidR="00E50D41">
        <w:t xml:space="preserve">Institutsgebäudes </w:t>
      </w:r>
      <w:r w:rsidR="006B5C7D">
        <w:t>optimiert – nun war es an der Zeit, die offizielle Eröffnung zu feiern.</w:t>
      </w:r>
    </w:p>
    <w:p w:rsidR="003E7865" w:rsidRDefault="003E7865" w:rsidP="003E7865">
      <w:pPr>
        <w:spacing w:line="360" w:lineRule="auto"/>
      </w:pPr>
    </w:p>
    <w:p w:rsidR="00A75ACC" w:rsidRDefault="00832DA4" w:rsidP="003E7865">
      <w:pPr>
        <w:spacing w:line="360" w:lineRule="auto"/>
      </w:pPr>
      <w:r>
        <w:t>Gesundheitsreferent und Landeshauptmann-Stellvertreter Christian Stöckl gratulierte</w:t>
      </w:r>
      <w:r w:rsidR="00F632FF">
        <w:t xml:space="preserve"> den Mitarbeiterinnen und Mitarbeitern</w:t>
      </w:r>
      <w:r>
        <w:t xml:space="preserve">: </w:t>
      </w:r>
      <w:r w:rsidR="00A75ACC" w:rsidRPr="00A75ACC">
        <w:t xml:space="preserve">„Das neue </w:t>
      </w:r>
      <w:r w:rsidR="00E50D41">
        <w:t>Institutsgebäude</w:t>
      </w:r>
      <w:r w:rsidR="00A75ACC" w:rsidRPr="00A75ACC">
        <w:t>, in dem sich auch das Universitätsinstitut für Transfusionsmedizin befindet, war das erste große Bauvorhaben, das wir nach dem adaptierten Investitionsprogramm für die Salzburger Landeskliniken umgesetzt haben. Die Errichtungskosten haben rund 42,3 Millionen Euro betragen. Für die Transfusionsmedizin war der Umzug in die neuen Räumlichkeiten ein unabdingbarer Schritt zur Modernisierung der Abläufe in der Herstellung von Blutprodukten. Dadurch konnte die adäquate Versorgung der Patientinnen und Patienten mit Blut auch für die Zukunft gesichert werden.“</w:t>
      </w:r>
    </w:p>
    <w:p w:rsidR="00F632FF" w:rsidRDefault="00F632FF" w:rsidP="003E7865">
      <w:pPr>
        <w:spacing w:line="360" w:lineRule="auto"/>
      </w:pPr>
    </w:p>
    <w:p w:rsidR="00F632FF" w:rsidRDefault="005E7291" w:rsidP="003E7865">
      <w:pPr>
        <w:spacing w:line="360" w:lineRule="auto"/>
      </w:pPr>
      <w:r>
        <w:lastRenderedPageBreak/>
        <w:t>PMU-Rektor Herbert Resch</w:t>
      </w:r>
      <w:r w:rsidR="00F632FF">
        <w:t xml:space="preserve"> betonte das hohe </w:t>
      </w:r>
      <w:r w:rsidR="004415D2">
        <w:t xml:space="preserve">wissenschaftliche </w:t>
      </w:r>
      <w:r w:rsidR="00F632FF">
        <w:t xml:space="preserve">Niveau </w:t>
      </w:r>
      <w:r w:rsidR="004415D2">
        <w:t xml:space="preserve">des </w:t>
      </w:r>
      <w:r w:rsidR="00F632FF">
        <w:t>Universitätsinstitut</w:t>
      </w:r>
      <w:r w:rsidR="004415D2">
        <w:t>s</w:t>
      </w:r>
      <w:r w:rsidR="00F632FF">
        <w:t xml:space="preserve"> für Transfusionsmedizi</w:t>
      </w:r>
      <w:r w:rsidR="004415D2">
        <w:t>n</w:t>
      </w:r>
      <w:r w:rsidR="00F632FF">
        <w:t>: „</w:t>
      </w:r>
      <w:r w:rsidR="004415D2">
        <w:t>Für</w:t>
      </w:r>
      <w:r w:rsidR="00F632FF">
        <w:t xml:space="preserve"> </w:t>
      </w:r>
      <w:r w:rsidR="004415D2">
        <w:t>die</w:t>
      </w:r>
      <w:r w:rsidR="00F632FF">
        <w:t xml:space="preserve"> Stammzellenforschung, die hier passiert, interessiert man sich auch in Asien und Amerika.“</w:t>
      </w:r>
      <w:r w:rsidR="004415D2">
        <w:t xml:space="preserve"> </w:t>
      </w:r>
      <w:r>
        <w:t xml:space="preserve">Für Jürgen Koehler, ärztlicher Leiter des Uniklinikums, war die </w:t>
      </w:r>
      <w:r w:rsidR="00F632FF">
        <w:t>Vernissage ein gutes Beispiel für die Zusammenarbeit von Kliniken und Instituten der beiden Campus des Uniklinikums – Landeskrankenhaus (LKH) und Christian-Doppler-Klinik (CDK). SALK-Geschäftsführer Paul Sungler hob die „viel bessere Arbeitsatmosphäre für das Team“ in den neuen Räumlichkeiten hervor sowie die „großartige Leistung“</w:t>
      </w:r>
      <w:r w:rsidR="004415D2">
        <w:t xml:space="preserve">, die auch von den </w:t>
      </w:r>
      <w:r w:rsidR="00F632FF">
        <w:t xml:space="preserve">Mitarbeiterinnen und Mitarbeitern </w:t>
      </w:r>
      <w:r w:rsidR="004415D2">
        <w:t>der Bereiche Bau und Technik</w:t>
      </w:r>
      <w:r w:rsidR="00E50D41">
        <w:t xml:space="preserve"> sowie dem Managementbereich Medizintechnik und IT</w:t>
      </w:r>
      <w:r w:rsidR="004415D2">
        <w:t xml:space="preserve"> </w:t>
      </w:r>
      <w:r w:rsidR="00F632FF">
        <w:t>erbracht worden war.</w:t>
      </w:r>
    </w:p>
    <w:p w:rsidR="00F632FF" w:rsidRDefault="00F632FF" w:rsidP="003E7865">
      <w:pPr>
        <w:spacing w:line="360" w:lineRule="auto"/>
      </w:pPr>
    </w:p>
    <w:p w:rsidR="006B5C7D" w:rsidRDefault="006B5C7D" w:rsidP="006B5C7D">
      <w:pPr>
        <w:spacing w:line="360" w:lineRule="auto"/>
      </w:pPr>
      <w:r>
        <w:t>Das Universitätsinstitut für Transfusionsmedizin v</w:t>
      </w:r>
      <w:r w:rsidRPr="006B5C7D">
        <w:t>ersorgt die Salzburger Bevölkerung mit Blutprodukten</w:t>
      </w:r>
      <w:r>
        <w:t xml:space="preserve">, </w:t>
      </w:r>
      <w:r w:rsidRPr="006B5C7D">
        <w:rPr>
          <w:shd w:val="clear" w:color="auto" w:fill="FFFFFF"/>
        </w:rPr>
        <w:t xml:space="preserve">berät alle Kliniken des Bundeslandes im Bereich der </w:t>
      </w:r>
      <w:proofErr w:type="spellStart"/>
      <w:r w:rsidRPr="006B5C7D">
        <w:rPr>
          <w:shd w:val="clear" w:color="auto" w:fill="FFFFFF"/>
        </w:rPr>
        <w:t>Hämo</w:t>
      </w:r>
      <w:proofErr w:type="spellEnd"/>
      <w:r w:rsidRPr="006B5C7D">
        <w:rPr>
          <w:shd w:val="clear" w:color="auto" w:fill="FFFFFF"/>
        </w:rPr>
        <w:t>- und Zelltherapie</w:t>
      </w:r>
      <w:r>
        <w:rPr>
          <w:shd w:val="clear" w:color="auto" w:fill="FFFFFF"/>
        </w:rPr>
        <w:t xml:space="preserve"> und ist auch für die </w:t>
      </w:r>
      <w:r w:rsidRPr="006B5C7D">
        <w:rPr>
          <w:shd w:val="clear" w:color="auto" w:fill="FFFFFF"/>
        </w:rPr>
        <w:t>Weiterentwicklung von konventionell</w:t>
      </w:r>
      <w:r>
        <w:rPr>
          <w:shd w:val="clear" w:color="auto" w:fill="FFFFFF"/>
        </w:rPr>
        <w:t>en und speziellen Blutprodukten verantwortlich.</w:t>
      </w:r>
      <w:r w:rsidR="004415D2">
        <w:rPr>
          <w:shd w:val="clear" w:color="auto" w:fill="FFFFFF"/>
        </w:rPr>
        <w:t xml:space="preserve"> </w:t>
      </w:r>
      <w:r w:rsidRPr="0059189D">
        <w:t>Die Salzburger Landeskliniken (SALK) versorgen als größter Gesundheitsanbieter Salzbu</w:t>
      </w:r>
      <w:r>
        <w:t>rgs mit 6.400 Mitarbeiterinnen und Mitarbeiter mehr als</w:t>
      </w:r>
      <w:r w:rsidRPr="0059189D">
        <w:t xml:space="preserve"> 73.000 vollstationäre, 9.000 tagesklinische und 9</w:t>
      </w:r>
      <w:r>
        <w:t>40.000 ambulante Patientinnen und Patienten</w:t>
      </w:r>
      <w:r w:rsidRPr="0059189D">
        <w:t xml:space="preserve"> im Jahr. Sie bestehen aus dem Uniklinikum Salzburg mit dem Campus Landeskrankenhaus und Campus Christian-Doppler-Klinik in der Stadt Salzburg und den Landeskliniken in Hallein, St. Veit und Tamsweg.</w:t>
      </w:r>
    </w:p>
    <w:p w:rsidR="004415D2" w:rsidRDefault="004415D2" w:rsidP="006B5C7D">
      <w:pPr>
        <w:spacing w:line="360" w:lineRule="auto"/>
      </w:pPr>
    </w:p>
    <w:p w:rsidR="004415D2" w:rsidRDefault="004415D2" w:rsidP="004415D2">
      <w:pPr>
        <w:spacing w:line="360" w:lineRule="auto"/>
      </w:pPr>
      <w:r>
        <w:t>Bei Rückfragen:</w:t>
      </w:r>
    </w:p>
    <w:p w:rsidR="004415D2" w:rsidRDefault="004415D2" w:rsidP="004415D2">
      <w:pPr>
        <w:spacing w:line="360" w:lineRule="auto"/>
      </w:pPr>
      <w:r>
        <w:t xml:space="preserve">Wolfgang Fürweger </w:t>
      </w:r>
    </w:p>
    <w:p w:rsidR="004415D2" w:rsidRDefault="004415D2" w:rsidP="004415D2">
      <w:pPr>
        <w:spacing w:line="360" w:lineRule="auto"/>
      </w:pPr>
      <w:r>
        <w:t>Leiter Unternehmenskommunikation</w:t>
      </w:r>
      <w:r w:rsidR="006F5532">
        <w:t xml:space="preserve"> &amp; Marketing</w:t>
      </w:r>
    </w:p>
    <w:p w:rsidR="004415D2" w:rsidRPr="0059189D" w:rsidRDefault="005E7291" w:rsidP="004415D2">
      <w:pPr>
        <w:spacing w:line="360" w:lineRule="auto"/>
        <w:rPr>
          <w:lang w:val="de-DE"/>
        </w:rPr>
      </w:pPr>
      <w:r>
        <w:t>+ 43 676 8997-</w:t>
      </w:r>
      <w:r w:rsidR="004415D2">
        <w:t>20012</w:t>
      </w:r>
    </w:p>
    <w:p w:rsidR="004415D2" w:rsidRPr="004415D2" w:rsidRDefault="004415D2" w:rsidP="006B5C7D">
      <w:pPr>
        <w:spacing w:line="360" w:lineRule="auto"/>
      </w:pPr>
    </w:p>
    <w:p w:rsidR="006B5C7D" w:rsidRPr="006B5C7D" w:rsidRDefault="006B5C7D" w:rsidP="003E7865">
      <w:pPr>
        <w:spacing w:line="360" w:lineRule="auto"/>
      </w:pPr>
    </w:p>
    <w:sectPr w:rsidR="006B5C7D" w:rsidRPr="006B5C7D"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85" w:rsidRDefault="00896685" w:rsidP="00710231">
      <w:r>
        <w:separator/>
      </w:r>
    </w:p>
  </w:endnote>
  <w:endnote w:type="continuationSeparator" w:id="0">
    <w:p w:rsidR="00896685" w:rsidRDefault="00896685"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85" w:rsidRDefault="00896685" w:rsidP="00710231">
      <w:r>
        <w:separator/>
      </w:r>
    </w:p>
  </w:footnote>
  <w:footnote w:type="continuationSeparator" w:id="0">
    <w:p w:rsidR="00896685" w:rsidRDefault="00896685"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5F12B2">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9A610"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CC"/>
    <w:rsid w:val="000C3B8F"/>
    <w:rsid w:val="000E2443"/>
    <w:rsid w:val="00175420"/>
    <w:rsid w:val="0018605E"/>
    <w:rsid w:val="001C28A3"/>
    <w:rsid w:val="002C40D5"/>
    <w:rsid w:val="002E20B5"/>
    <w:rsid w:val="00306DAC"/>
    <w:rsid w:val="003E7865"/>
    <w:rsid w:val="004415D2"/>
    <w:rsid w:val="004C6572"/>
    <w:rsid w:val="004F3311"/>
    <w:rsid w:val="00516723"/>
    <w:rsid w:val="00573902"/>
    <w:rsid w:val="005A150C"/>
    <w:rsid w:val="005E7291"/>
    <w:rsid w:val="005F12B2"/>
    <w:rsid w:val="00636772"/>
    <w:rsid w:val="006A18D4"/>
    <w:rsid w:val="006B5C7D"/>
    <w:rsid w:val="006E3F8E"/>
    <w:rsid w:val="006E7569"/>
    <w:rsid w:val="006F5532"/>
    <w:rsid w:val="00710231"/>
    <w:rsid w:val="00832DA4"/>
    <w:rsid w:val="00896685"/>
    <w:rsid w:val="008975F6"/>
    <w:rsid w:val="0090464C"/>
    <w:rsid w:val="009C659E"/>
    <w:rsid w:val="00A5083F"/>
    <w:rsid w:val="00A747D2"/>
    <w:rsid w:val="00A75ACC"/>
    <w:rsid w:val="00AC760B"/>
    <w:rsid w:val="00BA6597"/>
    <w:rsid w:val="00BC471E"/>
    <w:rsid w:val="00BE72C2"/>
    <w:rsid w:val="00C03CC8"/>
    <w:rsid w:val="00C55C2E"/>
    <w:rsid w:val="00E34F93"/>
    <w:rsid w:val="00E50D41"/>
    <w:rsid w:val="00E62A6B"/>
    <w:rsid w:val="00F63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7FCB1"/>
  <w15:docId w15:val="{C4D0D31F-24FF-44B5-BE1F-5D565A37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Unternehmenskommunikation%20und%20Marketing%20VORLAGE\Le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Leer.dotx</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Fürweger Wolfgang</dc:creator>
  <cp:lastModifiedBy>Fürweger Wolfgang</cp:lastModifiedBy>
  <cp:revision>4</cp:revision>
  <dcterms:created xsi:type="dcterms:W3CDTF">2019-11-26T07:01:00Z</dcterms:created>
  <dcterms:modified xsi:type="dcterms:W3CDTF">2019-11-27T08:05:00Z</dcterms:modified>
</cp:coreProperties>
</file>